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Lines/>
        <w:pBdr>
          <w:bottom w:val="single" w:color="1F4E79" w:sz="12" w:space="12"/>
        </w:pBdr>
        <w:spacing w:after="440" w:before="0" w:line="700" w:lineRule="exact"/>
        <w:jc w:val="center"/>
      </w:pPr>
      <w:r>
        <w:rPr>
          <w:rFonts w:ascii="Times New Roman" w:cs="Times New Roman" w:eastAsia="標楷體" w:hAnsi="Times New Roman"/>
          <w:b/>
          <w:bCs/>
          <w:color w:val="1F4E79"/>
          <w:sz w:val="48"/>
          <w:szCs w:val="48"/>
        </w:rPr>
        <w:t xml:space="preserve">接受體外反搏(EECP)療程之同意書</w:t>
      </w:r>
    </w:p>
    <w:p>
      <w:pPr>
        <w:keepLines/>
        <w:spacing w:after="200" w:before="0" w:line="560" w:lineRule="exact"/>
        <w:jc w:val="both"/>
      </w:pPr>
      <w:r>
        <w:rPr>
          <w:rFonts w:ascii="Times New Roman" w:cs="Times New Roman" w:eastAsia="標楷體" w:hAnsi="Times New Roman"/>
          <w:color w:val="1F2A37"/>
          <w:sz w:val="30"/>
          <w:szCs w:val="30"/>
        </w:rPr>
        <w:t xml:space="preserve">本人係經</w:t>
      </w:r>
      <w:r>
        <w:rPr>
          <w:rFonts w:ascii="Times New Roman" w:cs="Times New Roman" w:eastAsia="標楷體" w:hAnsi="Times New Roman"/>
          <w:color w:val="1F2A37"/>
          <w:sz w:val="30"/>
          <w:szCs w:val="30"/>
          <w:u w:val="single"/>
        </w:rPr>
        <w:t xml:space="preserve">                  </w:t>
      </w:r>
      <w:r>
        <w:rPr>
          <w:rFonts w:ascii="Times New Roman" w:cs="Times New Roman" w:eastAsia="標楷體" w:hAnsi="Times New Roman"/>
          <w:color w:val="1F2A37"/>
          <w:sz w:val="30"/>
          <w:szCs w:val="30"/>
        </w:rPr>
        <w:t xml:space="preserve">醫師之診斷、評估暨說明、建議及囑咐後，充分了解下列有關體外反搏(EECP)之治療方式及其可能發生之副作用而同意接受本療程：</w:t>
      </w:r>
    </w:p>
    <w:p>
      <w:pPr>
        <w:keepLines/>
        <w:spacing w:after="200" w:before="0" w:line="560" w:lineRule="exact"/>
        <w:ind w:firstLine="600"/>
        <w:jc w:val="both"/>
      </w:pPr>
      <w:r>
        <w:rPr>
          <w:rFonts w:ascii="Times New Roman" w:cs="Times New Roman" w:eastAsia="標楷體" w:hAnsi="Times New Roman"/>
          <w:color w:val="1F2A37"/>
          <w:sz w:val="30"/>
          <w:szCs w:val="30"/>
        </w:rPr>
        <w:t xml:space="preserve">體外反搏(EECP)為一電腦控制之系統，方式為配合病人之心臟循環週期，同步施以外部壓力於下肢的加壓褲，用以增加心臟冠狀動脈之灌流壓力及血流，使缺氧的心肌得到較多的氧氣供應，並於減壓時使病人收縮期之動脈壓力減低而降低心臟之負荷，治療總時數為35小時，每次1小時，約需七周的時間。</w:t>
      </w:r>
    </w:p>
    <w:p>
      <w:pPr>
        <w:keepLines/>
        <w:spacing w:after="200" w:before="0" w:line="560" w:lineRule="exact"/>
        <w:ind w:firstLine="600"/>
        <w:jc w:val="both"/>
      </w:pPr>
      <w:r>
        <w:rPr>
          <w:rFonts w:ascii="Times New Roman" w:cs="Times New Roman" w:eastAsia="標楷體" w:hAnsi="Times New Roman"/>
          <w:color w:val="1F2A37"/>
          <w:sz w:val="30"/>
          <w:szCs w:val="30"/>
        </w:rPr>
        <w:t xml:space="preserve">體外反搏(EECP)現為美國心臟醫學會治療狹心症治療指引中之治療選擇之一，並且獲得衛生福利部醫療器材許可證 (衛部醫器製字第008237號)。研究顯示治療後會有增加冠心症患者運動之耐受性、減低三硝甘油之使用量及改善心肌功能的情形。</w:t>
      </w:r>
    </w:p>
    <w:p>
      <w:pPr>
        <w:keepLines/>
        <w:spacing w:after="200" w:before="0" w:line="560" w:lineRule="exact"/>
        <w:ind w:firstLine="600"/>
        <w:jc w:val="both"/>
      </w:pPr>
      <w:r>
        <w:rPr>
          <w:rFonts w:ascii="Times New Roman" w:cs="Times New Roman" w:eastAsia="標楷體" w:hAnsi="Times New Roman"/>
          <w:color w:val="1F2A37"/>
          <w:sz w:val="30"/>
          <w:szCs w:val="30"/>
        </w:rPr>
        <w:t xml:space="preserve">同時研究結果也顯示，體外反搏(EECP)可以顯著提高中風患者的腦部血流13％、增加功能輸出量達74％和降低血管阻力39％，而腦缺血面及另一面正常的腦血管都可增加9％的血流量，改善缺血性腦中風患者的腦血流灌注及側枝循環血流供應，提高中風患者的康復速度，幫助病人可以有獨立生活之能力。</w:t>
      </w:r>
    </w:p>
    <w:p>
      <w:pPr>
        <w:keepNext/>
        <w:keepLines/>
        <w:pBdr>
          <w:left w:val="single" w:color="1F4E79" w:sz="24" w:space="8"/>
        </w:pBdr>
        <w:spacing w:after="100" w:before="300" w:line="560" w:lineRule="exact"/>
        <w:ind w:left="160"/>
        <w:jc w:val="both"/>
      </w:pPr>
      <w:r>
        <w:rPr>
          <w:rFonts w:ascii="Times New Roman" w:cs="Times New Roman" w:eastAsia="標楷體" w:hAnsi="Times New Roman"/>
          <w:b/>
          <w:bCs/>
          <w:color w:val="1F4E79"/>
          <w:sz w:val="30"/>
          <w:szCs w:val="30"/>
        </w:rPr>
        <w:t xml:space="preserve">目前已知可能發生的副作用為：</w:t>
      </w:r>
    </w:p>
    <w:p>
      <w:pPr>
        <w:pStyle w:val="ListParagraph"/>
        <w:keepLines/>
        <w:numPr>
          <w:ilvl w:val="0"/>
          <w:numId w:val="2"/>
        </w:numPr>
        <w:spacing w:after="160" w:before="0" w:line="560" w:lineRule="exact"/>
        <w:jc w:val="both"/>
      </w:pPr>
      <w:r>
        <w:rPr>
          <w:rFonts w:ascii="Times New Roman" w:cs="Times New Roman" w:eastAsia="標楷體" w:hAnsi="Times New Roman"/>
          <w:color w:val="1F2A37"/>
          <w:sz w:val="30"/>
          <w:szCs w:val="30"/>
        </w:rPr>
        <w:t xml:space="preserve">治療初期之頭暈、頭痛、疲倦。</w:t>
      </w:r>
    </w:p>
    <w:p>
      <w:pPr>
        <w:pStyle w:val="ListParagraph"/>
        <w:keepLines/>
        <w:numPr>
          <w:ilvl w:val="0"/>
          <w:numId w:val="2"/>
        </w:numPr>
        <w:spacing w:after="160" w:before="0" w:line="560" w:lineRule="exact"/>
        <w:jc w:val="both"/>
      </w:pPr>
      <w:r>
        <w:rPr>
          <w:rFonts w:ascii="Times New Roman" w:cs="Times New Roman" w:eastAsia="標楷體" w:hAnsi="Times New Roman"/>
          <w:color w:val="1F2A37"/>
          <w:sz w:val="30"/>
          <w:szCs w:val="30"/>
        </w:rPr>
        <w:t xml:space="preserve">可能因為外部加壓的關係而造成皮膚擦傷、水腫、水泡、瘀青及肌肉酸痛。</w:t>
      </w:r>
    </w:p>
    <w:p>
      <w:pPr>
        <w:pStyle w:val="ListParagraph"/>
        <w:keepLines/>
        <w:numPr>
          <w:ilvl w:val="0"/>
          <w:numId w:val="2"/>
        </w:numPr>
        <w:spacing w:after="160" w:before="0" w:line="560" w:lineRule="exact"/>
        <w:jc w:val="both"/>
      </w:pPr>
      <w:r>
        <w:rPr>
          <w:rFonts w:ascii="Times New Roman" w:cs="Times New Roman" w:eastAsia="標楷體" w:hAnsi="Times New Roman"/>
          <w:color w:val="1F2A37"/>
          <w:sz w:val="30"/>
          <w:szCs w:val="30"/>
        </w:rPr>
        <w:t xml:space="preserve">若為下肢動脈嚴重阻塞者，亦容易併發皮膚之潰瘍。</w:t>
      </w:r>
    </w:p>
    <w:p>
      <w:pPr>
        <w:keepNext/>
        <w:keepLines/>
        <w:pageBreakBefore/>
        <w:pBdr>
          <w:left w:val="single" w:color="1F4E79" w:sz="24" w:space="8"/>
        </w:pBdr>
        <w:spacing w:after="100" w:before="0" w:line="560" w:lineRule="exact"/>
        <w:ind w:left="160"/>
        <w:jc w:val="both"/>
      </w:pPr>
      <w:r>
        <w:rPr>
          <w:rFonts w:ascii="Times New Roman" w:cs="Times New Roman" w:eastAsia="標楷體" w:hAnsi="Times New Roman"/>
          <w:b/>
          <w:bCs/>
          <w:color w:val="1F4E79"/>
          <w:sz w:val="30"/>
          <w:szCs w:val="30"/>
        </w:rPr>
        <w:t xml:space="preserve">禁忌症</w:t>
      </w:r>
    </w:p>
    <w:p>
      <w:pPr>
        <w:pStyle w:val="ListParagraph"/>
        <w:keepLines/>
        <w:numPr>
          <w:ilvl w:val="0"/>
          <w:numId w:val="3"/>
        </w:numPr>
        <w:spacing w:after="160" w:before="0" w:line="560" w:lineRule="exact"/>
        <w:jc w:val="both"/>
      </w:pPr>
      <w:r>
        <w:rPr>
          <w:rFonts w:ascii="Times New Roman" w:cs="Times New Roman" w:eastAsia="標楷體" w:hAnsi="Times New Roman"/>
          <w:color w:val="1F2A37"/>
          <w:sz w:val="30"/>
          <w:szCs w:val="30"/>
        </w:rPr>
        <w:t xml:space="preserve">易出血體質</w:t>
      </w:r>
    </w:p>
    <w:p>
      <w:pPr>
        <w:pStyle w:val="ListParagraph"/>
        <w:keepLines/>
        <w:numPr>
          <w:ilvl w:val="0"/>
          <w:numId w:val="3"/>
        </w:numPr>
        <w:spacing w:after="160" w:before="0" w:line="560" w:lineRule="exact"/>
        <w:jc w:val="both"/>
      </w:pPr>
      <w:r>
        <w:rPr>
          <w:rFonts w:ascii="Times New Roman" w:cs="Times New Roman" w:eastAsia="標楷體" w:hAnsi="Times New Roman"/>
          <w:color w:val="1F2A37"/>
          <w:sz w:val="30"/>
          <w:szCs w:val="30"/>
        </w:rPr>
        <w:t xml:space="preserve">嚴重主動脈瓣瓣膜疾病</w:t>
      </w:r>
    </w:p>
    <w:p>
      <w:pPr>
        <w:pStyle w:val="ListParagraph"/>
        <w:keepLines/>
        <w:numPr>
          <w:ilvl w:val="0"/>
          <w:numId w:val="3"/>
        </w:numPr>
        <w:spacing w:after="160" w:before="0" w:line="560" w:lineRule="exact"/>
        <w:jc w:val="both"/>
      </w:pPr>
      <w:r>
        <w:rPr>
          <w:rFonts w:ascii="Times New Roman" w:cs="Times New Roman" w:eastAsia="標楷體" w:hAnsi="Times New Roman"/>
          <w:color w:val="1F2A37"/>
          <w:sz w:val="30"/>
          <w:szCs w:val="30"/>
        </w:rPr>
        <w:t xml:space="preserve">活動性血栓靜脈炎</w:t>
      </w:r>
    </w:p>
    <w:p>
      <w:pPr>
        <w:pStyle w:val="ListParagraph"/>
        <w:keepLines/>
        <w:numPr>
          <w:ilvl w:val="0"/>
          <w:numId w:val="3"/>
        </w:numPr>
        <w:spacing w:after="160" w:before="0" w:line="560" w:lineRule="exact"/>
        <w:jc w:val="both"/>
      </w:pPr>
      <w:r>
        <w:rPr>
          <w:rFonts w:ascii="Times New Roman" w:cs="Times New Roman" w:eastAsia="標楷體" w:hAnsi="Times New Roman"/>
          <w:color w:val="1F2A37"/>
          <w:sz w:val="30"/>
          <w:szCs w:val="30"/>
        </w:rPr>
        <w:t xml:space="preserve">嚴重下肢血管阻塞</w:t>
      </w:r>
    </w:p>
    <w:p>
      <w:pPr>
        <w:pStyle w:val="ListParagraph"/>
        <w:keepLines/>
        <w:numPr>
          <w:ilvl w:val="0"/>
          <w:numId w:val="3"/>
        </w:numPr>
        <w:spacing w:after="160" w:before="0" w:line="560" w:lineRule="exact"/>
        <w:jc w:val="both"/>
      </w:pPr>
      <w:r>
        <w:rPr>
          <w:rFonts w:ascii="Times New Roman" w:cs="Times New Roman" w:eastAsia="標楷體" w:hAnsi="Times New Roman"/>
          <w:color w:val="1F2A37"/>
          <w:sz w:val="30"/>
          <w:szCs w:val="30"/>
        </w:rPr>
        <w:t xml:space="preserve">需進行外科處置的主動脈瘤</w:t>
      </w:r>
    </w:p>
    <w:p>
      <w:pPr>
        <w:pStyle w:val="ListParagraph"/>
        <w:keepLines/>
        <w:numPr>
          <w:ilvl w:val="0"/>
          <w:numId w:val="3"/>
        </w:numPr>
        <w:spacing w:after="160" w:before="0" w:line="560" w:lineRule="exact"/>
        <w:jc w:val="both"/>
      </w:pPr>
      <w:r>
        <w:rPr>
          <w:rFonts w:ascii="Times New Roman" w:cs="Times New Roman" w:eastAsia="標楷體" w:hAnsi="Times New Roman"/>
          <w:color w:val="1F2A37"/>
          <w:sz w:val="30"/>
          <w:szCs w:val="30"/>
        </w:rPr>
        <w:t xml:space="preserve">懷孕</w:t>
      </w:r>
    </w:p>
    <w:p>
      <w:pPr>
        <w:pStyle w:val="ListParagraph"/>
        <w:keepLines/>
        <w:numPr>
          <w:ilvl w:val="0"/>
          <w:numId w:val="3"/>
        </w:numPr>
        <w:spacing w:after="160" w:before="0" w:line="560" w:lineRule="exact"/>
        <w:jc w:val="both"/>
      </w:pPr>
      <w:r>
        <w:rPr>
          <w:rFonts w:ascii="Times New Roman" w:cs="Times New Roman" w:eastAsia="標楷體" w:hAnsi="Times New Roman"/>
          <w:color w:val="1F2A37"/>
          <w:sz w:val="30"/>
          <w:szCs w:val="30"/>
        </w:rPr>
        <w:t xml:space="preserve">尚未處理的顱內動脈瘤及動靜脈畸形</w:t>
      </w:r>
    </w:p>
    <w:p>
      <w:pPr>
        <w:spacing w:after="0" w:before="0" w:line="900" w:lineRule="exact"/>
      </w:pPr>
      <w:r>
        <w:rPr>
          <w:rFonts w:ascii="Times New Roman" w:cs="Times New Roman" w:eastAsia="標楷體" w:hAnsi="Times New Roman"/>
          <w:color w:val="1F2A37"/>
          <w:sz w:val="2"/>
          <w:szCs w:val="2"/>
        </w:rPr>
        <w:t xml:space="preserve"/>
      </w:r>
    </w:p>
    <w:tbl>
      <w:tblPr>
        <w:tblW w:type="dxa" w:w="986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32"/>
        <w:gridCol w:w="4932"/>
      </w:tblGrid>
      <w:tr>
        <w:trPr>
          <w:cantSplit/>
          <w:trHeight w:val="1800" w:hRule="exact"/>
        </w:trPr>
        <w:tc>
          <w:tcPr>
            <w:tcW w:type="dxa" w:w="4932"/>
            <w:tcBorders>
              <w:top w:val="single" w:color="1F4E79" w:sz="12"/>
              <w:left w:val="none" w:color="FFFFFF" w:sz="0"/>
              <w:bottom w:val="single" w:color="9DB3C8" w:sz="6"/>
              <w:right w:val="none" w:color="FFFFFF" w:sz="0"/>
            </w:tcBorders>
            <w:tcMar>
              <w:top w:type="dxa" w:w="60"/>
              <w:left w:type="dxa" w:w="120"/>
              <w:bottom w:type="dxa" w:w="100"/>
              <w:right w:type="dxa" w:w="120"/>
            </w:tcMar>
            <w:vAlign w:val="bottom"/>
          </w:tcPr>
          <w:p>
            <w:pPr>
              <w:spacing w:after="0" w:line="440" w:lineRule="exact"/>
            </w:pPr>
            <w:r>
              <w:rPr>
                <w:rFonts w:ascii="Times New Roman" w:cs="Times New Roman" w:eastAsia="標楷體" w:hAnsi="Times New Roman"/>
                <w:b/>
                <w:bCs/>
                <w:color w:val="1F4E79"/>
                <w:sz w:val="30"/>
                <w:szCs w:val="30"/>
              </w:rPr>
              <w:t xml:space="preserve">說明醫師簽名：</w:t>
            </w:r>
          </w:p>
        </w:tc>
        <w:tc>
          <w:tcPr>
            <w:tcW w:type="dxa" w:w="4932"/>
            <w:tcBorders>
              <w:top w:val="single" w:color="1F4E79" w:sz="12"/>
              <w:left w:val="none" w:color="FFFFFF" w:sz="0"/>
              <w:bottom w:val="single" w:color="9DB3C8" w:sz="6"/>
              <w:right w:val="none" w:color="FFFFFF" w:sz="0"/>
            </w:tcBorders>
            <w:tcMar>
              <w:top w:type="dxa" w:w="60"/>
              <w:left w:type="dxa" w:w="120"/>
              <w:bottom w:type="dxa" w:w="100"/>
              <w:right w:type="dxa" w:w="120"/>
            </w:tcMar>
            <w:vAlign w:val="bottom"/>
          </w:tcPr>
          <w:p>
            <w:pPr>
              <w:spacing w:after="0" w:line="440" w:lineRule="exact"/>
            </w:pPr>
            <w:r>
              <w:rPr>
                <w:rFonts w:ascii="Times New Roman" w:cs="Times New Roman" w:eastAsia="標楷體" w:hAnsi="Times New Roman"/>
                <w:b/>
                <w:bCs/>
                <w:color w:val="1F4E79"/>
                <w:sz w:val="30"/>
                <w:szCs w:val="30"/>
              </w:rPr>
              <w:t xml:space="preserve">日期：</w:t>
            </w:r>
            <w:r>
              <w:rPr>
                <w:rFonts w:ascii="Times New Roman" w:cs="Times New Roman" w:eastAsia="標楷體" w:hAnsi="Times New Roman"/>
                <w:color w:val="1F2A37"/>
                <w:sz w:val="30"/>
                <w:szCs w:val="30"/>
              </w:rPr>
              <w:t xml:space="preserve">    年      月      日</w:t>
            </w:r>
          </w:p>
          <w:p>
            <w:pPr>
              <w:spacing w:after="0" w:line="440" w:lineRule="exact"/>
            </w:pPr>
            <w:r>
              <w:rPr>
                <w:rFonts w:ascii="Times New Roman" w:cs="Times New Roman" w:eastAsia="標楷體" w:hAnsi="Times New Roman"/>
                <w:b/>
                <w:bCs/>
                <w:color w:val="1F4E79"/>
                <w:sz w:val="30"/>
                <w:szCs w:val="30"/>
              </w:rPr>
              <w:t xml:space="preserve">時間：</w:t>
            </w:r>
            <w:r>
              <w:rPr>
                <w:rFonts w:ascii="Times New Roman" w:cs="Times New Roman" w:eastAsia="標楷體" w:hAnsi="Times New Roman"/>
                <w:color w:val="1F2A37"/>
                <w:sz w:val="30"/>
                <w:szCs w:val="30"/>
              </w:rPr>
              <w:t xml:space="preserve">    時      分</w:t>
            </w:r>
          </w:p>
        </w:tc>
      </w:tr>
    </w:tbl>
    <w:p>
      <w:pPr>
        <w:spacing w:after="0" w:before="0" w:line="1200" w:lineRule="exact"/>
      </w:pPr>
      <w:r>
        <w:rPr>
          <w:rFonts w:ascii="Times New Roman" w:cs="Times New Roman" w:eastAsia="標楷體" w:hAnsi="Times New Roman"/>
          <w:color w:val="1F2A37"/>
          <w:sz w:val="2"/>
          <w:szCs w:val="2"/>
        </w:rPr>
        <w:t xml:space="preserve"/>
      </w:r>
    </w:p>
    <w:p>
      <w:pPr>
        <w:keepLines/>
        <w:spacing w:after="200" w:before="0" w:line="560" w:lineRule="exact"/>
        <w:ind w:firstLine="600"/>
        <w:jc w:val="both"/>
      </w:pPr>
      <w:r>
        <w:rPr>
          <w:rFonts w:ascii="Times New Roman" w:cs="Times New Roman" w:eastAsia="標楷體" w:hAnsi="Times New Roman"/>
          <w:color w:val="1F2A37"/>
          <w:sz w:val="30"/>
          <w:szCs w:val="30"/>
        </w:rPr>
        <w:t xml:space="preserve">體外反搏(EECP)現為心臟輔助治療選擇之一種，並無法全然替代本人現有的治療，因此於治療過程中本人一定會配合主治醫師，本人知道不可以也不會冒然停用原有之藥物及相關處置，以免導致本身病情之惡化。</w:t>
      </w:r>
    </w:p>
    <w:p>
      <w:pPr>
        <w:keepLines/>
        <w:spacing w:after="200" w:before="0" w:line="560" w:lineRule="exact"/>
        <w:ind w:firstLine="600"/>
        <w:jc w:val="both"/>
      </w:pPr>
      <w:r>
        <w:rPr>
          <w:rFonts w:ascii="Times New Roman" w:cs="Times New Roman" w:eastAsia="標楷體" w:hAnsi="Times New Roman"/>
          <w:color w:val="1F2A37"/>
          <w:sz w:val="30"/>
          <w:szCs w:val="30"/>
        </w:rPr>
        <w:t xml:space="preserve">綜上，本人業已充分了解上述有關(EECP)之治療方式其可能發生之副作用，而同意接受本療程，並特聲明如上。</w:t>
      </w:r>
    </w:p>
    <w:p>
      <w:pPr>
        <w:keepLines/>
        <w:spacing w:after="0" w:before="400" w:line="560" w:lineRule="exact"/>
        <w:jc w:val="both"/>
      </w:pPr>
      <w:r>
        <w:rPr>
          <w:rFonts w:ascii="Times New Roman" w:cs="Times New Roman" w:eastAsia="標楷體" w:hAnsi="Times New Roman"/>
          <w:color w:val="1F2A37"/>
          <w:sz w:val="30"/>
          <w:szCs w:val="30"/>
        </w:rPr>
        <w:t xml:space="preserve">此致</w:t>
      </w:r>
      <w:r>
        <w:rPr>
          <w:rFonts w:ascii="Times New Roman" w:cs="Times New Roman" w:eastAsia="標楷體" w:hAnsi="Times New Roman"/>
          <w:color w:val="1F2A37"/>
          <w:sz w:val="30"/>
          <w:szCs w:val="30"/>
        </w:rPr>
        <w:t xml:space="preserve">        </w:t>
      </w:r>
      <w:r>
        <w:rPr>
          <w:rFonts w:ascii="Times New Roman" w:cs="Times New Roman" w:eastAsia="標楷體" w:hAnsi="Times New Roman"/>
          <w:b/>
          <w:bCs/>
          <w:color w:val="1F2A37"/>
          <w:sz w:val="30"/>
          <w:szCs w:val="30"/>
        </w:rPr>
        <w:t xml:space="preserve">心臟體外反搏治療中心</w:t>
      </w:r>
    </w:p>
    <w:p>
      <w:pPr>
        <w:keepNext/>
        <w:keepLines/>
        <w:pageBreakBefore/>
        <w:pBdr>
          <w:left w:val="single" w:color="1F4E79" w:sz="24" w:space="8"/>
        </w:pBdr>
        <w:spacing w:after="160" w:before="0" w:line="560" w:lineRule="exact"/>
        <w:ind w:left="160"/>
        <w:jc w:val="both"/>
      </w:pPr>
      <w:r>
        <w:rPr>
          <w:rFonts w:ascii="Times New Roman" w:cs="Times New Roman" w:eastAsia="標楷體" w:hAnsi="Times New Roman"/>
          <w:b/>
          <w:bCs/>
          <w:color w:val="1F4E79"/>
          <w:sz w:val="30"/>
          <w:szCs w:val="30"/>
        </w:rPr>
        <w:t xml:space="preserve">立同意書人簽署欄</w:t>
      </w:r>
    </w:p>
    <w:tbl>
      <w:tblPr>
        <w:tblW w:type="dxa" w:w="986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21"/>
        <w:gridCol w:w="4143"/>
      </w:tblGrid>
      <w:tr>
        <w:trPr>
          <w:cantSplit/>
          <w:trHeight w:val="1800" w:hRule="exact"/>
        </w:trPr>
        <w:tc>
          <w:tcPr>
            <w:tcW w:type="dxa" w:w="5721"/>
            <w:tcBorders>
              <w:top w:val="single" w:color="1F4E79" w:sz="12"/>
              <w:left w:val="none" w:color="FFFFFF" w:sz="0"/>
              <w:bottom w:val="single" w:color="9DB3C8" w:sz="6"/>
              <w:right w:val="none" w:color="FFFFFF" w:sz="0"/>
            </w:tcBorders>
            <w:tcMar>
              <w:top w:type="dxa" w:w="60"/>
              <w:left w:type="dxa" w:w="120"/>
              <w:bottom w:type="dxa" w:w="100"/>
              <w:right w:type="dxa" w:w="120"/>
            </w:tcMar>
            <w:vAlign w:val="bottom"/>
          </w:tcPr>
          <w:p>
            <w:pPr>
              <w:spacing w:after="0" w:line="440" w:lineRule="exact"/>
            </w:pPr>
            <w:r>
              <w:rPr>
                <w:rFonts w:ascii="Times New Roman" w:cs="Times New Roman" w:eastAsia="標楷體" w:hAnsi="Times New Roman"/>
                <w:b/>
                <w:bCs/>
                <w:color w:val="1F4E79"/>
                <w:sz w:val="30"/>
                <w:szCs w:val="30"/>
              </w:rPr>
              <w:t xml:space="preserve">立同意書人姓名：</w:t>
            </w:r>
          </w:p>
        </w:tc>
        <w:tc>
          <w:tcPr>
            <w:tcW w:type="dxa" w:w="4143"/>
            <w:tcBorders>
              <w:top w:val="single" w:color="1F4E79" w:sz="12"/>
              <w:left w:val="none" w:color="FFFFFF" w:sz="0"/>
              <w:bottom w:val="single" w:color="9DB3C8" w:sz="6"/>
              <w:right w:val="none" w:color="FFFFFF" w:sz="0"/>
            </w:tcBorders>
            <w:tcMar>
              <w:top w:type="dxa" w:w="60"/>
              <w:left w:type="dxa" w:w="120"/>
              <w:bottom w:type="dxa" w:w="100"/>
              <w:right w:type="dxa" w:w="120"/>
            </w:tcMar>
            <w:vAlign w:val="bottom"/>
          </w:tcPr>
          <w:p>
            <w:pPr>
              <w:spacing w:after="0" w:line="440" w:lineRule="exact"/>
            </w:pPr>
            <w:r>
              <w:rPr>
                <w:rFonts w:ascii="Times New Roman" w:cs="Times New Roman" w:eastAsia="標楷體" w:hAnsi="Times New Roman"/>
                <w:b/>
                <w:bCs/>
                <w:color w:val="1F4E79"/>
                <w:sz w:val="30"/>
                <w:szCs w:val="30"/>
              </w:rPr>
              <w:t xml:space="preserve">關係：</w:t>
            </w:r>
            <w:r>
              <w:rPr>
                <w:rFonts w:ascii="Times New Roman" w:cs="Times New Roman" w:eastAsia="標楷體" w:hAnsi="Times New Roman"/>
                <w:color w:val="1F2A37"/>
                <w:sz w:val="30"/>
                <w:szCs w:val="30"/>
              </w:rPr>
              <w:t xml:space="preserve">病人之</w:t>
            </w:r>
          </w:p>
          <w:p>
            <w:pPr>
              <w:spacing w:after="0" w:line="340" w:lineRule="exact"/>
            </w:pPr>
            <w:r>
              <w:rPr>
                <w:rFonts w:ascii="Times New Roman" w:cs="Times New Roman" w:eastAsia="標楷體" w:hAnsi="Times New Roman"/>
                <w:color w:val="5B6B7B"/>
                <w:sz w:val="25"/>
                <w:szCs w:val="25"/>
              </w:rPr>
              <w:t xml:space="preserve">（立同意書人身分請參閱附註）</w:t>
            </w:r>
          </w:p>
        </w:tc>
      </w:tr>
      <w:tr>
        <w:trPr>
          <w:cantSplit/>
          <w:trHeight w:val="1800" w:hRule="exact"/>
        </w:trPr>
        <w:tc>
          <w:tcPr>
            <w:tcW w:type="dxa" w:w="9864"/>
            <w:gridSpan w:val="2"/>
            <w:tcBorders>
              <w:top w:val="none" w:color="FFFFFF" w:sz="0"/>
              <w:left w:val="none" w:color="FFFFFF" w:sz="0"/>
              <w:bottom w:val="single" w:color="9DB3C8" w:sz="6"/>
              <w:right w:val="none" w:color="FFFFFF" w:sz="0"/>
            </w:tcBorders>
            <w:tcMar>
              <w:top w:type="dxa" w:w="60"/>
              <w:left w:type="dxa" w:w="120"/>
              <w:bottom w:type="dxa" w:w="100"/>
              <w:right w:type="dxa" w:w="120"/>
            </w:tcMar>
            <w:vAlign w:val="bottom"/>
          </w:tcPr>
          <w:p>
            <w:pPr>
              <w:spacing w:after="0" w:line="440" w:lineRule="exact"/>
            </w:pPr>
            <w:r>
              <w:rPr>
                <w:rFonts w:ascii="Times New Roman" w:cs="Times New Roman" w:eastAsia="標楷體" w:hAnsi="Times New Roman"/>
                <w:b/>
                <w:bCs/>
                <w:color w:val="1F4E79"/>
                <w:sz w:val="30"/>
                <w:szCs w:val="30"/>
              </w:rPr>
              <w:t xml:space="preserve">身分證統一編號／居留證或護照號碼：</w:t>
            </w:r>
          </w:p>
        </w:tc>
      </w:tr>
      <w:tr>
        <w:trPr>
          <w:cantSplit/>
          <w:trHeight w:val="1800" w:hRule="exact"/>
        </w:trPr>
        <w:tc>
          <w:tcPr>
            <w:tcW w:type="dxa" w:w="5721"/>
            <w:tcBorders>
              <w:top w:val="none" w:color="FFFFFF" w:sz="0"/>
              <w:left w:val="none" w:color="FFFFFF" w:sz="0"/>
              <w:bottom w:val="single" w:color="9DB3C8" w:sz="6"/>
              <w:right w:val="none" w:color="FFFFFF" w:sz="0"/>
            </w:tcBorders>
            <w:tcMar>
              <w:top w:type="dxa" w:w="60"/>
              <w:left w:type="dxa" w:w="120"/>
              <w:bottom w:type="dxa" w:w="100"/>
              <w:right w:type="dxa" w:w="120"/>
            </w:tcMar>
            <w:vAlign w:val="bottom"/>
          </w:tcPr>
          <w:p>
            <w:pPr>
              <w:spacing w:after="0" w:line="440" w:lineRule="exact"/>
            </w:pPr>
            <w:r>
              <w:rPr>
                <w:rFonts w:ascii="Times New Roman" w:cs="Times New Roman" w:eastAsia="標楷體" w:hAnsi="Times New Roman"/>
                <w:b/>
                <w:bCs/>
                <w:color w:val="1F4E79"/>
                <w:sz w:val="30"/>
                <w:szCs w:val="30"/>
              </w:rPr>
              <w:t xml:space="preserve">住址：</w:t>
            </w:r>
          </w:p>
        </w:tc>
        <w:tc>
          <w:tcPr>
            <w:tcW w:type="dxa" w:w="4143"/>
            <w:tcBorders>
              <w:top w:val="none" w:color="FFFFFF" w:sz="0"/>
              <w:left w:val="none" w:color="FFFFFF" w:sz="0"/>
              <w:bottom w:val="single" w:color="9DB3C8" w:sz="6"/>
              <w:right w:val="none" w:color="FFFFFF" w:sz="0"/>
            </w:tcBorders>
            <w:tcMar>
              <w:top w:type="dxa" w:w="60"/>
              <w:left w:type="dxa" w:w="120"/>
              <w:bottom w:type="dxa" w:w="100"/>
              <w:right w:type="dxa" w:w="120"/>
            </w:tcMar>
            <w:vAlign w:val="bottom"/>
          </w:tcPr>
          <w:p>
            <w:pPr>
              <w:spacing w:after="0" w:line="440" w:lineRule="exact"/>
            </w:pPr>
            <w:r>
              <w:rPr>
                <w:rFonts w:ascii="Times New Roman" w:cs="Times New Roman" w:eastAsia="標楷體" w:hAnsi="Times New Roman"/>
                <w:b/>
                <w:bCs/>
                <w:color w:val="1F4E79"/>
                <w:sz w:val="30"/>
                <w:szCs w:val="30"/>
              </w:rPr>
              <w:t xml:space="preserve">電話：</w:t>
            </w:r>
          </w:p>
        </w:tc>
      </w:tr>
      <w:tr>
        <w:trPr>
          <w:cantSplit/>
          <w:trHeight w:val="1800" w:hRule="exact"/>
        </w:trPr>
        <w:tc>
          <w:tcPr>
            <w:tcW w:type="dxa" w:w="5721"/>
            <w:tcBorders>
              <w:top w:val="none" w:color="FFFFFF" w:sz="0"/>
              <w:left w:val="none" w:color="FFFFFF" w:sz="0"/>
              <w:bottom w:val="single" w:color="9DB3C8" w:sz="6"/>
              <w:right w:val="none" w:color="FFFFFF" w:sz="0"/>
            </w:tcBorders>
            <w:tcMar>
              <w:top w:type="dxa" w:w="60"/>
              <w:left w:type="dxa" w:w="120"/>
              <w:bottom w:type="dxa" w:w="100"/>
              <w:right w:type="dxa" w:w="120"/>
            </w:tcMar>
            <w:vAlign w:val="bottom"/>
          </w:tcPr>
          <w:p>
            <w:pPr>
              <w:spacing w:after="0" w:line="440" w:lineRule="exact"/>
            </w:pPr>
            <w:r>
              <w:rPr>
                <w:rFonts w:ascii="Times New Roman" w:cs="Times New Roman" w:eastAsia="標楷體" w:hAnsi="Times New Roman"/>
                <w:b/>
                <w:bCs/>
                <w:color w:val="1F4E79"/>
                <w:sz w:val="30"/>
                <w:szCs w:val="30"/>
              </w:rPr>
              <w:t xml:space="preserve">日期：</w:t>
            </w:r>
            <w:r>
              <w:rPr>
                <w:rFonts w:ascii="Times New Roman" w:cs="Times New Roman" w:eastAsia="標楷體" w:hAnsi="Times New Roman"/>
                <w:color w:val="1F2A37"/>
                <w:sz w:val="30"/>
                <w:szCs w:val="30"/>
              </w:rPr>
              <w:t xml:space="preserve">    年      月      日</w:t>
            </w:r>
          </w:p>
        </w:tc>
        <w:tc>
          <w:tcPr>
            <w:tcW w:type="dxa" w:w="4143"/>
            <w:tcBorders>
              <w:top w:val="none" w:color="FFFFFF" w:sz="0"/>
              <w:left w:val="none" w:color="FFFFFF" w:sz="0"/>
              <w:bottom w:val="single" w:color="9DB3C8" w:sz="6"/>
              <w:right w:val="none" w:color="FFFFFF" w:sz="0"/>
            </w:tcBorders>
            <w:tcMar>
              <w:top w:type="dxa" w:w="60"/>
              <w:left w:type="dxa" w:w="120"/>
              <w:bottom w:type="dxa" w:w="100"/>
              <w:right w:type="dxa" w:w="120"/>
            </w:tcMar>
            <w:vAlign w:val="bottom"/>
          </w:tcPr>
          <w:p>
            <w:pPr>
              <w:spacing w:after="0" w:line="440" w:lineRule="exact"/>
            </w:pPr>
            <w:r>
              <w:rPr>
                <w:rFonts w:ascii="Times New Roman" w:cs="Times New Roman" w:eastAsia="標楷體" w:hAnsi="Times New Roman"/>
                <w:b/>
                <w:bCs/>
                <w:color w:val="1F4E79"/>
                <w:sz w:val="30"/>
                <w:szCs w:val="30"/>
              </w:rPr>
              <w:t xml:space="preserve">時間：</w:t>
            </w:r>
            <w:r>
              <w:rPr>
                <w:rFonts w:ascii="Times New Roman" w:cs="Times New Roman" w:eastAsia="標楷體" w:hAnsi="Times New Roman"/>
                <w:color w:val="1F2A37"/>
                <w:sz w:val="30"/>
                <w:szCs w:val="30"/>
              </w:rPr>
              <w:t xml:space="preserve">    時      分</w:t>
            </w:r>
          </w:p>
        </w:tc>
      </w:tr>
    </w:tbl>
    <w:p>
      <w:pPr>
        <w:spacing w:after="0" w:before="0" w:line="1300" w:lineRule="exact"/>
      </w:pPr>
      <w:r>
        <w:rPr>
          <w:rFonts w:ascii="Times New Roman" w:cs="Times New Roman" w:eastAsia="標楷體" w:hAnsi="Times New Roman"/>
          <w:color w:val="1F2A37"/>
          <w:sz w:val="2"/>
          <w:szCs w:val="2"/>
        </w:rPr>
        <w:t xml:space="preserve"/>
      </w:r>
    </w:p>
    <w:tbl>
      <w:tblPr>
        <w:tblW w:type="dxa" w:w="986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864"/>
      </w:tblGrid>
      <w:tr>
        <w:trPr>
          <w:cantSplit/>
        </w:trPr>
        <w:tc>
          <w:tcPr>
            <w:tcW w:type="dxa" w:w="9864"/>
            <w:tcBorders>
              <w:top w:val="none" w:color="FFFFFF" w:sz="0"/>
              <w:left w:val="single" w:color="1F4E79" w:sz="24"/>
              <w:bottom w:val="none" w:color="FFFFFF" w:sz="0"/>
              <w:right w:val="none" w:color="FFFFFF" w:sz="0"/>
            </w:tcBorders>
            <w:shd w:fill="EEF3F8" w:color="auto" w:val="clear"/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120" w:line="460" w:lineRule="exact"/>
            </w:pPr>
            <w:r>
              <w:rPr>
                <w:rFonts w:ascii="Times New Roman" w:cs="Times New Roman" w:eastAsia="標楷體" w:hAnsi="Times New Roman"/>
                <w:b/>
                <w:bCs/>
                <w:color w:val="1F4E79"/>
                <w:sz w:val="27"/>
                <w:szCs w:val="27"/>
              </w:rPr>
              <w:t xml:space="preserve">附註：依照衛生福利部公告同意書內容說明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80" w:line="460" w:lineRule="exact"/>
              <w:jc w:val="both"/>
            </w:pPr>
            <w:r>
              <w:rPr>
                <w:rFonts w:ascii="Times New Roman" w:cs="Times New Roman" w:eastAsia="標楷體" w:hAnsi="Times New Roman"/>
                <w:color w:val="1F2A37"/>
                <w:sz w:val="25"/>
                <w:szCs w:val="25"/>
              </w:rPr>
              <w:t xml:space="preserve">立同意書人非病人本人者，「與病人之關係欄」應予填載與病人之關係。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80" w:line="460" w:lineRule="exact"/>
              <w:jc w:val="both"/>
            </w:pPr>
            <w:r>
              <w:rPr>
                <w:rFonts w:ascii="Times New Roman" w:cs="Times New Roman" w:eastAsia="標楷體" w:hAnsi="Times New Roman"/>
                <w:color w:val="1F2A37"/>
                <w:sz w:val="25"/>
                <w:szCs w:val="25"/>
              </w:rPr>
              <w:t xml:space="preserve">同意書除下列情形外，應由病人親自簽名：</w:t>
            </w:r>
          </w:p>
          <w:p>
            <w:pPr>
              <w:pStyle w:val="ListParagraph"/>
              <w:numPr>
                <w:ilvl w:val="1"/>
                <w:numId w:val="4"/>
              </w:numPr>
              <w:spacing w:after="80" w:line="460" w:lineRule="exact"/>
              <w:jc w:val="both"/>
            </w:pPr>
            <w:r>
              <w:rPr>
                <w:rFonts w:ascii="Times New Roman" w:cs="Times New Roman" w:eastAsia="標楷體" w:hAnsi="Times New Roman"/>
                <w:color w:val="1F2A37"/>
                <w:sz w:val="25"/>
                <w:szCs w:val="25"/>
              </w:rPr>
              <w:t xml:space="preserve">病人為未成年人或因故無法為同意之表示時，得由法定代理人、配偶、親屬或關係人簽名。</w:t>
            </w:r>
          </w:p>
          <w:p>
            <w:pPr>
              <w:pStyle w:val="ListParagraph"/>
              <w:numPr>
                <w:ilvl w:val="1"/>
                <w:numId w:val="4"/>
              </w:numPr>
              <w:spacing w:after="80" w:line="460" w:lineRule="exact"/>
              <w:jc w:val="both"/>
            </w:pPr>
            <w:r>
              <w:rPr>
                <w:rFonts w:ascii="Times New Roman" w:cs="Times New Roman" w:eastAsia="標楷體" w:hAnsi="Times New Roman"/>
                <w:color w:val="1F2A37"/>
                <w:sz w:val="25"/>
                <w:szCs w:val="25"/>
              </w:rPr>
              <w:t xml:space="preserve">病人之關係人，係指與病人有特別密切關係之人，如伴侶（不分性別）、同居人、摯友等；或依法令或契約關係，對病人負有保護義務之人，如監護人、少年保護官、學校教職員、肇事駕駛人、軍警消防人員等。</w:t>
            </w:r>
          </w:p>
          <w:p>
            <w:pPr>
              <w:pStyle w:val="ListParagraph"/>
              <w:numPr>
                <w:ilvl w:val="1"/>
                <w:numId w:val="4"/>
              </w:numPr>
              <w:spacing w:after="80" w:line="460" w:lineRule="exact"/>
              <w:jc w:val="both"/>
            </w:pPr>
            <w:r>
              <w:rPr>
                <w:rFonts w:ascii="Times New Roman" w:cs="Times New Roman" w:eastAsia="標楷體" w:hAnsi="Times New Roman"/>
                <w:color w:val="1F2A37"/>
                <w:sz w:val="25"/>
                <w:szCs w:val="25"/>
              </w:rPr>
              <w:t xml:space="preserve">病人不識字，得以按指印代替簽名，惟應有二名見證人於指印旁簽名。</w:t>
            </w:r>
          </w:p>
        </w:tc>
      </w:tr>
    </w:tbl>
    <w:sectPr>
      <w:pgSz w:w="11906" w:h="16838" w:orient="portrait"/>
      <w:pgMar w:top="1021" w:right="1021" w:bottom="907" w:left="102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620" w:hanging="360"/>
      </w:pPr>
      <w:rPr>
        <w:rFonts w:ascii="Times New Roman" w:cs="Times New Roman" w:eastAsia="標楷體" w:hAnsi="Times New Roman"/>
        <w:b/>
        <w:bCs/>
        <w:color w:val="1F4E79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620" w:hanging="360"/>
      </w:pPr>
      <w:rPr>
        <w:rFonts w:ascii="Times New Roman" w:cs="Times New Roman" w:eastAsia="標楷體" w:hAnsi="Times New Roman"/>
        <w:b/>
        <w:bCs/>
        <w:color w:val="1F4E79"/>
      </w:rPr>
    </w:lvl>
  </w:abstractNum>
  <w:abstractNum w:abstractNumId="4" w15:restartNumberingAfterBreak="0">
    <w:multiLevelType w:val="hybridMultilevel"/>
    <w:lvl w:ilvl="0" w:tentative="1">
      <w:start w:val="1"/>
      <w:numFmt w:val="taiwaneseCountingThousand"/>
      <w:lvlText w:val="%1、"/>
      <w:lvlJc w:val="left"/>
      <w:pPr>
        <w:ind w:left="560" w:hanging="560"/>
      </w:pPr>
      <w:rPr>
        <w:rFonts w:ascii="Times New Roman" w:cs="Times New Roman" w:eastAsia="標楷體" w:hAnsi="Times New Roman"/>
        <w:sz w:val="25"/>
        <w:szCs w:val="25"/>
      </w:rPr>
    </w:lvl>
    <w:lvl w:ilvl="1" w:tentative="1">
      <w:start w:val="1"/>
      <w:numFmt w:val="decimal"/>
      <w:lvlText w:val="%2."/>
      <w:lvlJc w:val="left"/>
      <w:pPr>
        <w:ind w:left="960" w:hanging="340"/>
      </w:pPr>
      <w:rPr>
        <w:rFonts w:ascii="Times New Roman" w:cs="Times New Roman" w:eastAsia="標楷體" w:hAnsi="Times New Roman"/>
        <w:sz w:val="25"/>
        <w:szCs w:val="25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標楷體" w:hAnsi="Times New Roman"/>
        <w:color w:val="1F2A37"/>
        <w:sz w:val="30"/>
        <w:szCs w:val="3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2026-10-30T08:13:24.145Z</dcterms:created>
  <dcterms:modified xsi:type="dcterms:W3CDTF">2026-10-30T08:13:24.146Z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